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0"/>
        <w:jc w:val="center"/>
      </w:pPr>
      <w:r>
        <w:rPr>
          <w:b/>
          <w:bCs/>
          <w:color w:val="595959"/>
          <w:sz w:val="26"/>
          <w:szCs w:val="26"/>
        </w:rPr>
        <w:t xml:space="preserve">[COMPANY NAME]</w:t>
      </w:r>
    </w:p>
    <w:p>
      <w:pPr>
        <w:spacing w:after="200" w:before="200"/>
        <w:jc w:val="center"/>
      </w:pPr>
      <w:r>
        <w:rPr>
          <w:b/>
          <w:bCs/>
          <w:color w:val="1A2B4C"/>
          <w:sz w:val="56"/>
          <w:szCs w:val="56"/>
        </w:rPr>
        <w:t xml:space="preserve">LOSS PREVENTION POLICY</w:t>
      </w:r>
    </w:p>
    <w:p>
      <w:pPr>
        <w:spacing w:after="600"/>
        <w:jc w:val="center"/>
      </w:pPr>
      <w:r>
        <w:rPr>
          <w:i/>
          <w:iCs/>
          <w:color w:val="C97A1A"/>
          <w:sz w:val="24"/>
          <w:szCs w:val="24"/>
        </w:rPr>
        <w:t xml:space="preserve">Protecting Assets, Inventory, Cash, and People</w:t>
      </w:r>
    </w:p>
    <w:p>
      <w:pPr>
        <w:spacing w:after="80"/>
        <w:jc w:val="center"/>
      </w:pPr>
      <w:r>
        <w:rPr>
          <w:color w:val="595959"/>
          <w:sz w:val="21"/>
          <w:szCs w:val="21"/>
        </w:rPr>
        <w:t xml:space="preserve">Effective Date: [DD/MM/YYYY]</w:t>
      </w:r>
    </w:p>
    <w:p>
      <w:pPr>
        <w:spacing w:after="80"/>
        <w:jc w:val="center"/>
      </w:pPr>
      <w:r>
        <w:rPr>
          <w:color w:val="595959"/>
          <w:sz w:val="21"/>
          <w:szCs w:val="21"/>
        </w:rPr>
        <w:t xml:space="preserve">Policy Owner: [Name / Department]</w:t>
      </w:r>
    </w:p>
    <w:p>
      <w:pPr>
        <w:spacing w:after="80"/>
        <w:jc w:val="center"/>
      </w:pPr>
      <w:r>
        <w:rPr>
          <w:color w:val="595959"/>
          <w:sz w:val="21"/>
          <w:szCs w:val="21"/>
        </w:rPr>
        <w:t xml:space="preserve">Review Cycle: Annual</w:t>
      </w:r>
    </w:p>
    <w:p>
      <w:pPr>
        <w:spacing w:after="800"/>
        <w:jc w:val="center"/>
      </w:pPr>
      <w:r>
        <w:rPr>
          <w:color w:val="AAAAAA"/>
          <w:sz w:val="19"/>
          <w:szCs w:val="19"/>
        </w:rPr>
        <w:t xml:space="preserve">Version 1.0</w:t>
      </w:r>
    </w:p>
    <w:p>
      <w:pPr>
        <w:pageBreakBefore/>
      </w:pPr>
    </w:p>
    <w:p>
      <w:pPr>
        <w:pStyle w:val="Heading1"/>
      </w:pPr>
      <w:r>
        <w:t xml:space="preserve">How to Use This Template</w:t>
      </w:r>
    </w:p>
    <w:p>
      <w:pPr>
        <w:spacing w:after="160"/>
      </w:pPr>
      <w:r>
        <w:t xml:space="preserve">This is a free, editable Loss Prevention Policy template provided by PreventLoss.org. It is designed for retail, hospitality, warehousing, distribution, and general small-to-midsize US businesses that need a formal, written loss prevention policy.</w:t>
      </w:r>
    </w:p>
    <w:p>
      <w:pPr>
        <w:pBdr>
          <w:left w:val="single" w:color="C97A1A" w:sz="18" w:space="6"/>
        </w:pBdr>
        <w:shd w:fill="FFF5E6" w:val="clear"/>
        <w:spacing w:after="200" w:before="80"/>
      </w:pPr>
      <w:r>
        <w:rPr>
          <w:i/>
          <w:iCs/>
          <w:color w:val="7A5200"/>
          <w:sz w:val="19"/>
          <w:szCs w:val="19"/>
        </w:rPr>
        <w:t xml:space="preserve">💡 TEMPLATE NOTE: Replace every bracketed [placeholder] with your company-specific information. Sections marked with a 💡 note are guidance for you and should be deleted before finalizing your policy. This template is a starting point — have it reviewed by legal counsel before formal adoption, especially regarding employment, search, and investigation procedures, which vary by state.</w:t>
      </w:r>
    </w:p>
    <w:p>
      <w:pPr>
        <w:spacing w:after="160"/>
      </w:pPr>
      <w:r>
        <w:rPr>
          <w:i/>
          <w:iCs/>
          <w:color w:val="595959"/>
          <w:sz w:val="19"/>
          <w:szCs w:val="19"/>
        </w:rPr>
        <w:t xml:space="preserve">This document is provided for general informational purposes and does not constitute legal advice.</w:t>
      </w:r>
    </w:p>
    <w:p>
      <w:pPr>
        <w:pBdr>
          <w:bottom w:val="single" w:color="C97A1A" w:sz="12" w:space="4"/>
        </w:pBdr>
        <w:spacing w:after="240" w:before="100"/>
      </w:pPr>
      <w:r>
        <w:t xml:space="preserve"/>
      </w:r>
    </w:p>
    <w:p>
      <w:pPr>
        <w:pStyle w:val="Heading1"/>
      </w:pPr>
      <w:r>
        <w:t xml:space="preserve">1. Purpose and Policy Statement</w:t>
      </w:r>
    </w:p>
    <w:p>
      <w:pPr>
        <w:spacing w:after="160"/>
      </w:pPr>
      <w:r>
        <w:t xml:space="preserve">[Company Name] is committed to protecting its assets, inventory, cash, employees, and customers from loss due to theft, fraud, error, waste, and other preventable causes. This Loss Prevention Policy establishes the framework, responsibilities, and procedures that govern how loss prevention is implemented and enforced across the organization.</w:t>
      </w:r>
    </w:p>
    <w:p>
      <w:pPr>
        <w:spacing w:after="160"/>
      </w:pPr>
      <w:r>
        <w:t xml:space="preserve">This policy applies to all employees, contractors, vendors, and third parties operating on behalf of [Company Name], at all company locations, including retail stores, warehouses, distribution centers, and corporate offices.</w:t>
      </w:r>
    </w:p>
    <w:p>
      <w:pPr>
        <w:pBdr>
          <w:left w:val="single" w:color="C97A1A" w:sz="18" w:space="6"/>
        </w:pBdr>
        <w:shd w:fill="FFF5E6" w:val="clear"/>
        <w:spacing w:after="200" w:before="80"/>
      </w:pPr>
      <w:r>
        <w:rPr>
          <w:i/>
          <w:iCs/>
          <w:color w:val="7A5200"/>
          <w:sz w:val="19"/>
          <w:szCs w:val="19"/>
        </w:rPr>
        <w:t xml:space="preserve">💡 TEMPLATE NOTE: Customize this statement to reflect your industry — retail, warehousing, hospitality, logistics, etc. Be specific about which locations and business units the policy covers.</w:t>
      </w:r>
    </w:p>
    <w:p>
      <w:pPr>
        <w:pStyle w:val="Heading1"/>
      </w:pPr>
      <w:r>
        <w:t xml:space="preserve">2. Scope and Definitions</w:t>
      </w:r>
    </w:p>
    <w:p>
      <w:pPr>
        <w:pStyle w:val="Heading2"/>
      </w:pPr>
      <w:r>
        <w:t xml:space="preserve">2.1 Scope</w:t>
      </w:r>
    </w:p>
    <w:p>
      <w:pPr>
        <w:spacing w:after="160"/>
      </w:pPr>
      <w:r>
        <w:t xml:space="preserve">This policy applies to all forms of loss, including but not limited to:</w:t>
      </w:r>
    </w:p>
    <w:p>
      <w:pPr>
        <w:pStyle w:val="ListParagraph"/>
        <w:numPr>
          <w:ilvl w:val="0"/>
          <w:numId w:val="2"/>
        </w:numPr>
        <w:spacing w:after="80"/>
      </w:pPr>
      <w:r>
        <w:t xml:space="preserve">Inventory shrinkage (theft, damage, administrative error, vendor fraud)</w:t>
      </w:r>
    </w:p>
    <w:p>
      <w:pPr>
        <w:pStyle w:val="ListParagraph"/>
        <w:numPr>
          <w:ilvl w:val="0"/>
          <w:numId w:val="2"/>
        </w:numPr>
        <w:spacing w:after="80"/>
      </w:pPr>
      <w:r>
        <w:t xml:space="preserve">Cash handling discrepancies and register shortages</w:t>
      </w:r>
    </w:p>
    <w:p>
      <w:pPr>
        <w:pStyle w:val="ListParagraph"/>
        <w:numPr>
          <w:ilvl w:val="0"/>
          <w:numId w:val="2"/>
        </w:numPr>
        <w:spacing w:after="80"/>
      </w:pPr>
      <w:r>
        <w:t xml:space="preserve">Employee theft and internal fraud</w:t>
      </w:r>
    </w:p>
    <w:p>
      <w:pPr>
        <w:pStyle w:val="ListParagraph"/>
        <w:numPr>
          <w:ilvl w:val="0"/>
          <w:numId w:val="2"/>
        </w:numPr>
        <w:spacing w:after="80"/>
      </w:pPr>
      <w:r>
        <w:t xml:space="preserve">External theft, including shoplifting and organized retail crime</w:t>
      </w:r>
    </w:p>
    <w:p>
      <w:pPr>
        <w:pStyle w:val="ListParagraph"/>
        <w:numPr>
          <w:ilvl w:val="0"/>
          <w:numId w:val="2"/>
        </w:numPr>
        <w:spacing w:after="80"/>
      </w:pPr>
      <w:r>
        <w:t xml:space="preserve">Vendor and supplier fraud, including billing and delivery discrepancies</w:t>
      </w:r>
    </w:p>
    <w:p>
      <w:pPr>
        <w:pStyle w:val="ListParagraph"/>
        <w:numPr>
          <w:ilvl w:val="0"/>
          <w:numId w:val="2"/>
        </w:numPr>
        <w:spacing w:after="80"/>
      </w:pPr>
      <w:r>
        <w:t xml:space="preserve">Property damage and safety incidents resulting in financial loss</w:t>
      </w:r>
    </w:p>
    <w:p>
      <w:pPr>
        <w:pStyle w:val="ListParagraph"/>
        <w:numPr>
          <w:ilvl w:val="0"/>
          <w:numId w:val="2"/>
        </w:numPr>
        <w:spacing w:after="80"/>
      </w:pPr>
      <w:r>
        <w:t xml:space="preserve">Data and information security incidents with financial impact</w:t>
      </w:r>
    </w:p>
    <w:p>
      <w:pPr>
        <w:pStyle w:val="Heading2"/>
      </w:pPr>
      <w:r>
        <w:t xml:space="preserve">2.2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Shrinkage</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The difference between recorded inventory and actual physical inventory, expressed as a percentage of sales.</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Loss Prevention (LP)</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The function and set of practices designed to identify, reduce, and eliminate preventable loss.</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Internal Theft</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Theft or fraud committed by an employee, contractor, or other internal party.</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External Theft</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Theft committed by a non-employee, including shoplifting, burglary, and organized retail crime.</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Exception Report</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An automated or manual report flagging unusual transactions for review (e.g., high voids, refunds).</w:t>
            </w:r>
          </w:p>
        </w:tc>
      </w:tr>
    </w:tbl>
    <w:p>
      <w:pPr>
        <w:pStyle w:val="Heading1"/>
      </w:pPr>
      <w:r>
        <w:t xml:space="preserve">3. Roles and Responsibilities</w:t>
      </w:r>
    </w:p>
    <w:p>
      <w:pPr>
        <w:spacing w:after="160"/>
      </w:pPr>
      <w:r>
        <w:t xml:space="preserve">Effective loss prevention requires clear ownership at every level of the organization.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Executive Leadership</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Approves policy, allocates budget for LP programs and technology, reviews quarterly loss metrics.</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Loss Prevention Manager / Team</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Owns day-to-day policy execution, investigations, audits, and reporting.</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Store / Site Managers</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Enforce daily procedures, conduct cash counts, supervise receiving, escalate exceptions.</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Finance / Accounts Payable</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Verifies vendor invoices against agreements, flags billing discrepancies, processes recoveries.</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Human Resources</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Conducts background checks, manages investigations involving personnel, oversees disciplinary action.</w:t>
            </w:r>
          </w:p>
        </w:tc>
      </w:tr>
      <w:tr>
        <w:tc>
          <w:tcPr>
            <w:tcW w:type="dxa" w:w="2800"/>
            <w:tcBorders>
              <w:top w:val="single" w:color="CCCCCC" w:sz="4"/>
              <w:left w:val="single" w:color="CCCCCC" w:sz="4"/>
              <w:bottom w:val="single" w:color="CCCCCC" w:sz="4"/>
              <w:right w:val="single" w:color="CCCCCC" w:sz="4"/>
            </w:tcBorders>
            <w:shd w:fill="F2F2F2" w:val="clear"/>
            <w:tcMar>
              <w:top w:type="dxa" w:w="100"/>
              <w:left w:type="dxa" w:w="120"/>
              <w:bottom w:type="dxa" w:w="100"/>
              <w:right w:type="dxa" w:w="120"/>
            </w:tcMar>
          </w:tcPr>
          <w:p>
            <w:r>
              <w:rPr>
                <w:b/>
                <w:bCs/>
                <w:sz w:val="19"/>
                <w:szCs w:val="19"/>
              </w:rPr>
              <w:t xml:space="preserve">All Employees</w:t>
            </w:r>
          </w:p>
        </w:tc>
        <w:tc>
          <w:tcPr>
            <w:tcW w:type="dxa" w:w="656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i/>
                <w:iCs/>
                <w:color w:val="888888"/>
                <w:sz w:val="19"/>
                <w:szCs w:val="19"/>
              </w:rPr>
              <w:t xml:space="preserve">Comply with policy, report suspected theft or fraud, complete required LP training.</w:t>
            </w:r>
          </w:p>
        </w:tc>
      </w:tr>
    </w:tbl>
    <w:p>
      <w:pPr>
        <w:pBdr>
          <w:left w:val="single" w:color="C97A1A" w:sz="18" w:space="6"/>
        </w:pBdr>
        <w:shd w:fill="FFF5E6" w:val="clear"/>
        <w:spacing w:after="200" w:before="80"/>
      </w:pPr>
      <w:r>
        <w:rPr>
          <w:i/>
          <w:iCs/>
          <w:color w:val="7A5200"/>
          <w:sz w:val="19"/>
          <w:szCs w:val="19"/>
        </w:rPr>
        <w:t xml:space="preserve">💡 TEMPLATE NOTE: Adjust these roles to match your organizational structure. Smaller businesses may combine LP responsibilities under a single Operations or Finance role.</w:t>
      </w:r>
    </w:p>
    <w:p>
      <w:pPr>
        <w:pStyle w:val="Heading1"/>
      </w:pPr>
      <w:r>
        <w:t xml:space="preserve">4. Core Policy Areas</w:t>
      </w:r>
    </w:p>
    <w:p>
      <w:pPr>
        <w:pStyle w:val="Heading2"/>
      </w:pPr>
      <w:r>
        <w:t xml:space="preserve">4.1 Inventory Control</w:t>
      </w:r>
    </w:p>
    <w:p>
      <w:pPr>
        <w:pStyle w:val="ListParagraph"/>
        <w:numPr>
          <w:ilvl w:val="0"/>
          <w:numId w:val="2"/>
        </w:numPr>
        <w:spacing w:after="80"/>
      </w:pPr>
      <w:r>
        <w:t xml:space="preserve">All inventory receipts must be verified against purchase orders before acceptance.</w:t>
      </w:r>
    </w:p>
    <w:p>
      <w:pPr>
        <w:pStyle w:val="ListParagraph"/>
        <w:numPr>
          <w:ilvl w:val="0"/>
          <w:numId w:val="2"/>
        </w:numPr>
        <w:spacing w:after="80"/>
      </w:pPr>
      <w:r>
        <w:t xml:space="preserve">Cycle counts will be performed on a [weekly/monthly/quarterly] basis for [A/B/C classification] items.</w:t>
      </w:r>
    </w:p>
    <w:p>
      <w:pPr>
        <w:pStyle w:val="ListParagraph"/>
        <w:numPr>
          <w:ilvl w:val="0"/>
          <w:numId w:val="2"/>
        </w:numPr>
        <w:spacing w:after="80"/>
      </w:pPr>
      <w:r>
        <w:t xml:space="preserve">Inventory adjustments and write-offs above $[amount] require manager approval and documented justification.</w:t>
      </w:r>
    </w:p>
    <w:p>
      <w:pPr>
        <w:pStyle w:val="ListParagraph"/>
        <w:numPr>
          <w:ilvl w:val="0"/>
          <w:numId w:val="2"/>
        </w:numPr>
        <w:spacing w:after="80"/>
      </w:pPr>
      <w:r>
        <w:t xml:space="preserve">Annual or perpetual physical inventory counts will reconcile system records to actual stock.</w:t>
      </w:r>
    </w:p>
    <w:p>
      <w:pPr>
        <w:pStyle w:val="Heading2"/>
      </w:pPr>
      <w:r>
        <w:t xml:space="preserve">4.2 Cash Handling</w:t>
      </w:r>
    </w:p>
    <w:p>
      <w:pPr>
        <w:pStyle w:val="ListParagraph"/>
        <w:numPr>
          <w:ilvl w:val="0"/>
          <w:numId w:val="2"/>
        </w:numPr>
        <w:spacing w:after="80"/>
      </w:pPr>
      <w:r>
        <w:t xml:space="preserve">Cash drawers will be counted at the start and end of every shift by the assigned employee.</w:t>
      </w:r>
    </w:p>
    <w:p>
      <w:pPr>
        <w:pStyle w:val="ListParagraph"/>
        <w:numPr>
          <w:ilvl w:val="0"/>
          <w:numId w:val="2"/>
        </w:numPr>
        <w:spacing w:after="80"/>
      </w:pPr>
      <w:r>
        <w:t xml:space="preserve">A second employee or manager must witness and verify all cash counts above $[amount].</w:t>
      </w:r>
    </w:p>
    <w:p>
      <w:pPr>
        <w:pStyle w:val="ListParagraph"/>
        <w:numPr>
          <w:ilvl w:val="0"/>
          <w:numId w:val="2"/>
        </w:numPr>
        <w:spacing w:after="80"/>
      </w:pPr>
      <w:r>
        <w:t xml:space="preserve">All voids, refunds, and discounts above $[amount] require manager authorization at the point of transaction.</w:t>
      </w:r>
    </w:p>
    <w:p>
      <w:pPr>
        <w:pStyle w:val="ListParagraph"/>
        <w:numPr>
          <w:ilvl w:val="0"/>
          <w:numId w:val="2"/>
        </w:numPr>
        <w:spacing w:after="80"/>
      </w:pPr>
      <w:r>
        <w:t xml:space="preserve">Bank deposits will be made within [timeframe] and reconciled against POS totals daily.</w:t>
      </w:r>
    </w:p>
    <w:p>
      <w:pPr>
        <w:pStyle w:val="Heading2"/>
      </w:pPr>
      <w:r>
        <w:t xml:space="preserve">4.3 Employee Theft Prevention</w:t>
      </w:r>
    </w:p>
    <w:p>
      <w:pPr>
        <w:pStyle w:val="ListParagraph"/>
        <w:numPr>
          <w:ilvl w:val="0"/>
          <w:numId w:val="2"/>
        </w:numPr>
        <w:spacing w:after="80"/>
      </w:pPr>
      <w:r>
        <w:t xml:space="preserve">All new hires undergo background screening and reference verification prior to employment offer.</w:t>
      </w:r>
    </w:p>
    <w:p>
      <w:pPr>
        <w:pStyle w:val="ListParagraph"/>
        <w:numPr>
          <w:ilvl w:val="0"/>
          <w:numId w:val="2"/>
        </w:numPr>
        <w:spacing w:after="80"/>
      </w:pPr>
      <w:r>
        <w:t xml:space="preserve">Employees in financial control roles must take a minimum of [10] consecutive business days of vacation annually.</w:t>
      </w:r>
    </w:p>
    <w:p>
      <w:pPr>
        <w:pStyle w:val="ListParagraph"/>
        <w:numPr>
          <w:ilvl w:val="0"/>
          <w:numId w:val="2"/>
        </w:numPr>
        <w:spacing w:after="80"/>
      </w:pPr>
      <w:r>
        <w:t xml:space="preserve">No single employee may control an entire transaction cycle from initiation through payment without independent verification.</w:t>
      </w:r>
    </w:p>
    <w:p>
      <w:pPr>
        <w:pStyle w:val="ListParagraph"/>
        <w:numPr>
          <w:ilvl w:val="0"/>
          <w:numId w:val="2"/>
        </w:numPr>
        <w:spacing w:after="80"/>
      </w:pPr>
      <w:r>
        <w:t xml:space="preserve">An anonymous, third-party reporting hotline is available to all employees for reporting suspected misconduct.</w:t>
      </w:r>
    </w:p>
    <w:p>
      <w:pPr>
        <w:pStyle w:val="Heading2"/>
      </w:pPr>
      <w:r>
        <w:t xml:space="preserve">4.4 Vendor and Supplier Fraud Prevention</w:t>
      </w:r>
    </w:p>
    <w:p>
      <w:pPr>
        <w:pStyle w:val="ListParagraph"/>
        <w:numPr>
          <w:ilvl w:val="0"/>
          <w:numId w:val="2"/>
        </w:numPr>
        <w:spacing w:after="80"/>
      </w:pPr>
      <w:r>
        <w:t xml:space="preserve">All vendor invoices must be matched against the signed agreement (rate, quantity, terms) before payment release.</w:t>
      </w:r>
    </w:p>
    <w:p>
      <w:pPr>
        <w:pStyle w:val="ListParagraph"/>
        <w:numPr>
          <w:ilvl w:val="0"/>
          <w:numId w:val="2"/>
        </w:numPr>
        <w:spacing w:after="80"/>
      </w:pPr>
      <w:r>
        <w:t xml:space="preserve">New vendors require senior management approval and bank account verification before setup in the payment system.</w:t>
      </w:r>
    </w:p>
    <w:p>
      <w:pPr>
        <w:pStyle w:val="ListParagraph"/>
        <w:numPr>
          <w:ilvl w:val="0"/>
          <w:numId w:val="2"/>
        </w:numPr>
        <w:spacing w:after="80"/>
      </w:pPr>
      <w:r>
        <w:t xml:space="preserve">Vendor billing data (MIS, invoices) will be independently audited against signed agreements on a [quarterly] basis.</w:t>
      </w:r>
    </w:p>
    <w:p>
      <w:pPr>
        <w:pStyle w:val="ListParagraph"/>
        <w:numPr>
          <w:ilvl w:val="0"/>
          <w:numId w:val="2"/>
        </w:numPr>
        <w:spacing w:after="80"/>
      </w:pPr>
      <w:r>
        <w:t xml:space="preserve">The team managing a vendor relationship may not also approve that vendor's payments without independent review.</w:t>
      </w:r>
    </w:p>
    <w:p>
      <w:pPr>
        <w:pStyle w:val="Heading2"/>
      </w:pPr>
      <w:r>
        <w:t xml:space="preserve">4.5 Physical and Technology Security</w:t>
      </w:r>
    </w:p>
    <w:p>
      <w:pPr>
        <w:pStyle w:val="ListParagraph"/>
        <w:numPr>
          <w:ilvl w:val="0"/>
          <w:numId w:val="2"/>
        </w:numPr>
        <w:spacing w:after="80"/>
      </w:pPr>
      <w:r>
        <w:t xml:space="preserve">CCTV coverage is maintained at all points of sale, cash offices, receiving docks, and storage areas.</w:t>
      </w:r>
    </w:p>
    <w:p>
      <w:pPr>
        <w:pStyle w:val="ListParagraph"/>
        <w:numPr>
          <w:ilvl w:val="0"/>
          <w:numId w:val="2"/>
        </w:numPr>
        <w:spacing w:after="80"/>
      </w:pPr>
      <w:r>
        <w:t xml:space="preserve">Access to sensitive areas (cash office, stockroom, server room) is restricted to authorized personnel via [keycard/lock] control.</w:t>
      </w:r>
    </w:p>
    <w:p>
      <w:pPr>
        <w:pStyle w:val="ListParagraph"/>
        <w:numPr>
          <w:ilvl w:val="0"/>
          <w:numId w:val="2"/>
        </w:numPr>
        <w:spacing w:after="80"/>
      </w:pPr>
      <w:r>
        <w:t xml:space="preserve">System access is role-based; access is revoked immediately upon termination or role change.</w:t>
      </w:r>
    </w:p>
    <w:p>
      <w:pPr>
        <w:pStyle w:val="ListParagraph"/>
        <w:numPr>
          <w:ilvl w:val="0"/>
          <w:numId w:val="2"/>
        </w:numPr>
        <w:spacing w:after="80"/>
      </w:pPr>
      <w:r>
        <w:t xml:space="preserve">POS exception reports are reviewed [weekly] for unusual void, refund, or discount patterns by employee.</w:t>
      </w:r>
    </w:p>
    <w:p>
      <w:pPr>
        <w:pStyle w:val="Heading2"/>
      </w:pPr>
      <w:r>
        <w:t xml:space="preserve">4.6 External Theft and Organized Retail Crime</w:t>
      </w:r>
    </w:p>
    <w:p>
      <w:pPr>
        <w:pStyle w:val="ListParagraph"/>
        <w:numPr>
          <w:ilvl w:val="0"/>
          <w:numId w:val="2"/>
        </w:numPr>
        <w:spacing w:after="80"/>
      </w:pPr>
      <w:r>
        <w:t xml:space="preserve">Employees will follow the company's non-confrontation policy when external theft is observed.</w:t>
      </w:r>
    </w:p>
    <w:p>
      <w:pPr>
        <w:pStyle w:val="ListParagraph"/>
        <w:numPr>
          <w:ilvl w:val="0"/>
          <w:numId w:val="2"/>
        </w:numPr>
        <w:spacing w:after="80"/>
      </w:pPr>
      <w:r>
        <w:t xml:space="preserve">High-shrink and high-value items are secured using [locked cases / electronic article surveillance / other controls].</w:t>
      </w:r>
    </w:p>
    <w:p>
      <w:pPr>
        <w:pStyle w:val="ListParagraph"/>
        <w:numPr>
          <w:ilvl w:val="0"/>
          <w:numId w:val="2"/>
        </w:numPr>
        <w:spacing w:after="80"/>
      </w:pPr>
      <w:r>
        <w:t xml:space="preserve">Incidents involving organized retail crime are reported to [LP team / law enforcement] per the incident response protocol below.</w:t>
      </w:r>
    </w:p>
    <w:p>
      <w:pPr>
        <w:pStyle w:val="Heading1"/>
      </w:pPr>
      <w:r>
        <w:t xml:space="preserve">5. Investigation and Incident Response Protocol</w:t>
      </w:r>
    </w:p>
    <w:p>
      <w:pPr>
        <w:spacing w:after="160"/>
      </w:pPr>
      <w:r>
        <w:t xml:space="preserve">When a suspected loss event is identified, the following sequence will be followed:</w:t>
      </w:r>
    </w:p>
    <w:p>
      <w:pPr>
        <w:pStyle w:val="ListParagraph"/>
        <w:numPr>
          <w:ilvl w:val="0"/>
          <w:numId w:val="3"/>
        </w:numPr>
        <w:spacing w:after="100"/>
      </w:pPr>
      <w:r>
        <w:t xml:space="preserve">Preserve all relevant evidence — transaction records, CCTV footage, documents, system logs — before any confrontation occurs.</w:t>
      </w:r>
    </w:p>
    <w:p>
      <w:pPr>
        <w:pStyle w:val="ListParagraph"/>
        <w:numPr>
          <w:ilvl w:val="0"/>
          <w:numId w:val="3"/>
        </w:numPr>
        <w:spacing w:after="100"/>
      </w:pPr>
      <w:r>
        <w:t xml:space="preserve">Notify the designated Loss Prevention contact and, where applicable, Human Resources and Legal.</w:t>
      </w:r>
    </w:p>
    <w:p>
      <w:pPr>
        <w:pStyle w:val="ListParagraph"/>
        <w:numPr>
          <w:ilvl w:val="0"/>
          <w:numId w:val="3"/>
        </w:numPr>
        <w:spacing w:after="100"/>
      </w:pPr>
      <w:r>
        <w:t xml:space="preserve">Conduct a documented investigation, including interviews where appropriate, before taking any employment action.</w:t>
      </w:r>
    </w:p>
    <w:p>
      <w:pPr>
        <w:pStyle w:val="ListParagraph"/>
        <w:numPr>
          <w:ilvl w:val="0"/>
          <w:numId w:val="3"/>
        </w:numPr>
        <w:spacing w:after="100"/>
      </w:pPr>
      <w:r>
        <w:t xml:space="preserve">Consult Legal Counsel before suspension, termination, or any action with legal implications.</w:t>
      </w:r>
    </w:p>
    <w:p>
      <w:pPr>
        <w:pStyle w:val="ListParagraph"/>
        <w:numPr>
          <w:ilvl w:val="0"/>
          <w:numId w:val="3"/>
        </w:numPr>
        <w:spacing w:after="100"/>
      </w:pPr>
      <w:r>
        <w:t xml:space="preserve">Notify the insurance carrier where applicable (crime/fidelity coverage) within the policy-required timeframe.</w:t>
      </w:r>
    </w:p>
    <w:p>
      <w:pPr>
        <w:pStyle w:val="ListParagraph"/>
        <w:numPr>
          <w:ilvl w:val="0"/>
          <w:numId w:val="3"/>
        </w:numPr>
        <w:spacing w:after="100"/>
      </w:pPr>
      <w:r>
        <w:t xml:space="preserve">File a police report where warranted, regardless of dollar amount.</w:t>
      </w:r>
    </w:p>
    <w:p>
      <w:pPr>
        <w:pStyle w:val="ListParagraph"/>
        <w:numPr>
          <w:ilvl w:val="0"/>
          <w:numId w:val="3"/>
        </w:numPr>
        <w:spacing w:after="200"/>
      </w:pPr>
      <w:r>
        <w:t xml:space="preserve">Conduct a root-cause review and close the control gap that enabled the loss.</w:t>
      </w:r>
    </w:p>
    <w:p>
      <w:pPr>
        <w:pBdr>
          <w:left w:val="single" w:color="C97A1A" w:sz="18" w:space="6"/>
        </w:pBdr>
        <w:shd w:fill="FFF5E6" w:val="clear"/>
        <w:spacing w:after="200" w:before="80"/>
      </w:pPr>
      <w:r>
        <w:rPr>
          <w:i/>
          <w:iCs/>
          <w:color w:val="7A5200"/>
          <w:sz w:val="19"/>
          <w:szCs w:val="19"/>
        </w:rPr>
        <w:t xml:space="preserve">💡 TEMPLATE NOTE: This sequence should be reviewed by your employment attorney. Investigation and confrontation procedures carry legal risk and vary significantly by state (especially regarding employee searches and detention).</w:t>
      </w:r>
    </w:p>
    <w:p>
      <w:pPr>
        <w:pStyle w:val="Heading1"/>
      </w:pPr>
      <w:r>
        <w:t xml:space="preserve">6. Reporting and Key Metrics</w:t>
      </w:r>
    </w:p>
    <w:p>
      <w:pPr>
        <w:spacing w:after="160"/>
      </w:pPr>
      <w:r>
        <w:t xml:space="preserve">The following metrics will be tracked and reported to leadership on a [monthly/quarterly] basis:</w:t>
      </w:r>
    </w:p>
    <w:p>
      <w:pPr>
        <w:pStyle w:val="ListParagraph"/>
        <w:numPr>
          <w:ilvl w:val="0"/>
          <w:numId w:val="2"/>
        </w:numPr>
        <w:spacing w:after="80"/>
      </w:pPr>
      <w:r>
        <w:t xml:space="preserve">Shrinkage rate (% of sales)</w:t>
      </w:r>
    </w:p>
    <w:p>
      <w:pPr>
        <w:pStyle w:val="ListParagraph"/>
        <w:numPr>
          <w:ilvl w:val="0"/>
          <w:numId w:val="2"/>
        </w:numPr>
        <w:spacing w:after="80"/>
      </w:pPr>
      <w:r>
        <w:t xml:space="preserve">Cash variance by location and by employee</w:t>
      </w:r>
    </w:p>
    <w:p>
      <w:pPr>
        <w:pStyle w:val="ListParagraph"/>
        <w:numPr>
          <w:ilvl w:val="0"/>
          <w:numId w:val="2"/>
        </w:numPr>
        <w:spacing w:after="80"/>
      </w:pPr>
      <w:r>
        <w:t xml:space="preserve">Number and dollar value of investigations opened/closed</w:t>
      </w:r>
    </w:p>
    <w:p>
      <w:pPr>
        <w:pStyle w:val="ListParagraph"/>
        <w:numPr>
          <w:ilvl w:val="0"/>
          <w:numId w:val="2"/>
        </w:numPr>
        <w:spacing w:after="80"/>
      </w:pPr>
      <w:r>
        <w:t xml:space="preserve">Vendor billing discrepancies identified and recovered</w:t>
      </w:r>
    </w:p>
    <w:p>
      <w:pPr>
        <w:pStyle w:val="ListParagraph"/>
        <w:numPr>
          <w:ilvl w:val="0"/>
          <w:numId w:val="2"/>
        </w:numPr>
        <w:spacing w:after="80"/>
      </w:pPr>
      <w:r>
        <w:t xml:space="preserve">Inventory accuracy rate (cycle count results)</w:t>
      </w:r>
    </w:p>
    <w:p>
      <w:pPr>
        <w:pStyle w:val="ListParagraph"/>
        <w:numPr>
          <w:ilvl w:val="0"/>
          <w:numId w:val="2"/>
        </w:numPr>
        <w:spacing w:after="80"/>
      </w:pPr>
      <w:r>
        <w:t xml:space="preserve">Training completion rate for loss prevention policy</w:t>
      </w:r>
    </w:p>
    <w:p>
      <w:pPr>
        <w:pStyle w:val="Heading1"/>
      </w:pPr>
      <w:r>
        <w:t xml:space="preserve">7. Training and Acknowledgment</w:t>
      </w:r>
    </w:p>
    <w:p>
      <w:pPr>
        <w:pStyle w:val="ListParagraph"/>
        <w:numPr>
          <w:ilvl w:val="0"/>
          <w:numId w:val="2"/>
        </w:numPr>
        <w:spacing w:after="80"/>
      </w:pPr>
      <w:r>
        <w:t xml:space="preserve">All employees complete Loss Prevention training within [30] days of hire and annually thereafter.</w:t>
      </w:r>
    </w:p>
    <w:p>
      <w:pPr>
        <w:pStyle w:val="ListParagraph"/>
        <w:numPr>
          <w:ilvl w:val="0"/>
          <w:numId w:val="2"/>
        </w:numPr>
        <w:spacing w:after="80"/>
      </w:pPr>
      <w:r>
        <w:t xml:space="preserve">Training covers: cash handling procedures, theft red flags, reporting channels, and consequences of policy violations.</w:t>
      </w:r>
    </w:p>
    <w:p>
      <w:pPr>
        <w:pStyle w:val="ListParagraph"/>
        <w:numPr>
          <w:ilvl w:val="0"/>
          <w:numId w:val="2"/>
        </w:numPr>
        <w:spacing w:after="80"/>
      </w:pPr>
      <w:r>
        <w:t xml:space="preserve">Each employee signs an acknowledgment confirming they have read, understood, and agree to comply with this policy.</w:t>
      </w:r>
    </w:p>
    <w:p>
      <w:pPr>
        <w:pStyle w:val="Heading1"/>
      </w:pPr>
      <w:r>
        <w:t xml:space="preserve">8. Policy Enforcement and Consequences</w:t>
      </w:r>
    </w:p>
    <w:p>
      <w:pPr>
        <w:spacing w:after="160"/>
      </w:pPr>
      <w:r>
        <w:t xml:space="preserve">Violations of this policy may result in disciplinary action up to and including termination of employment, and may be referred to law enforcement and/or pursued through civil action, depending on the nature and severity of the violation.</w:t>
      </w:r>
    </w:p>
    <w:p>
      <w:pPr>
        <w:spacing w:after="160"/>
      </w:pPr>
      <w:r>
        <w:t xml:space="preserve">This policy will be applied consistently across all levels of the organization, including management and executive personnel.</w:t>
      </w:r>
    </w:p>
    <w:p>
      <w:pPr>
        <w:pStyle w:val="Heading1"/>
      </w:pPr>
      <w:r>
        <w:t xml:space="preserve">9. Policy Review and Revision</w:t>
      </w:r>
    </w:p>
    <w:p>
      <w:pPr>
        <w:spacing w:after="160"/>
      </w:pPr>
      <w:r>
        <w:t xml:space="preserve">This policy will be reviewed at minimum annually by [Policy Owner / LP Manager] and updated as needed to reflect changes in business operations, regulatory requirements, or risk environment.</w:t>
      </w:r>
    </w:p>
    <w:p>
      <w:pPr>
        <w:pBdr>
          <w:bottom w:val="single" w:color="C97A1A" w:sz="12" w:space="4"/>
        </w:pBdr>
        <w:spacing w:after="240" w:before="100"/>
      </w:pPr>
      <w:r>
        <w:t xml:space="preserve"/>
      </w:r>
    </w:p>
    <w:p>
      <w:pPr>
        <w:pStyle w:val="Heading1"/>
      </w:pPr>
      <w:r>
        <w:t xml:space="preserve">Approval and Sign-Off</w:t>
      </w:r>
    </w:p>
    <w:p>
      <w:pPr>
        <w:spacing w:after="16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1A2B4C" w:val="clear"/>
            <w:tcMar>
              <w:top w:type="dxa" w:w="100"/>
              <w:left w:type="dxa" w:w="120"/>
              <w:bottom w:type="dxa" w:w="100"/>
              <w:right w:type="dxa" w:w="120"/>
            </w:tcMar>
          </w:tcPr>
          <w:p>
            <w:r>
              <w:rPr>
                <w:b/>
                <w:bCs/>
                <w:color w:val="FFFFFF"/>
                <w:sz w:val="19"/>
                <w:szCs w:val="19"/>
              </w:rPr>
              <w:t xml:space="preserve">Role</w:t>
            </w:r>
          </w:p>
        </w:tc>
        <w:tc>
          <w:tcPr>
            <w:tcW w:type="dxa" w:w="3120"/>
            <w:tcBorders>
              <w:top w:val="single" w:color="CCCCCC" w:sz="4"/>
              <w:left w:val="single" w:color="CCCCCC" w:sz="4"/>
              <w:bottom w:val="single" w:color="CCCCCC" w:sz="4"/>
              <w:right w:val="single" w:color="CCCCCC" w:sz="4"/>
            </w:tcBorders>
            <w:shd w:fill="1A2B4C" w:val="clear"/>
            <w:tcMar>
              <w:top w:type="dxa" w:w="100"/>
              <w:left w:type="dxa" w:w="120"/>
              <w:bottom w:type="dxa" w:w="100"/>
              <w:right w:type="dxa" w:w="120"/>
            </w:tcMar>
          </w:tcPr>
          <w:p>
            <w:r>
              <w:rPr>
                <w:b/>
                <w:bCs/>
                <w:color w:val="FFFFFF"/>
                <w:sz w:val="19"/>
                <w:szCs w:val="19"/>
              </w:rPr>
              <w:t xml:space="preserve">Name</w:t>
            </w:r>
          </w:p>
        </w:tc>
        <w:tc>
          <w:tcPr>
            <w:tcW w:type="dxa" w:w="3120"/>
            <w:tcBorders>
              <w:top w:val="single" w:color="CCCCCC" w:sz="4"/>
              <w:left w:val="single" w:color="CCCCCC" w:sz="4"/>
              <w:bottom w:val="single" w:color="CCCCCC" w:sz="4"/>
              <w:right w:val="single" w:color="CCCCCC" w:sz="4"/>
            </w:tcBorders>
            <w:shd w:fill="1A2B4C" w:val="clear"/>
            <w:tcMar>
              <w:top w:type="dxa" w:w="100"/>
              <w:left w:type="dxa" w:w="120"/>
              <w:bottom w:type="dxa" w:w="100"/>
              <w:right w:type="dxa" w:w="120"/>
            </w:tcMar>
          </w:tcPr>
          <w:p>
            <w:r>
              <w:rPr>
                <w:b/>
                <w:bCs/>
                <w:color w:val="FFFFFF"/>
                <w:sz w:val="19"/>
                <w:szCs w:val="19"/>
              </w:rPr>
              <w:t xml:space="preserve">Date / Signature</w:t>
            </w:r>
          </w:p>
        </w:tc>
      </w:tr>
      <w:tr>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Prepared By</w:t>
            </w:r>
          </w:p>
        </w:tc>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 </w:t>
            </w:r>
          </w:p>
        </w:tc>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 </w:t>
            </w:r>
          </w:p>
        </w:tc>
      </w:tr>
      <w:tr>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Reviewed By (Legal/HR)</w:t>
            </w:r>
          </w:p>
        </w:tc>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 </w:t>
            </w:r>
          </w:p>
        </w:tc>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 </w:t>
            </w:r>
          </w:p>
        </w:tc>
      </w:tr>
      <w:tr>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Approved By (Executive)</w:t>
            </w:r>
          </w:p>
        </w:tc>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 </w:t>
            </w:r>
          </w:p>
        </w:tc>
        <w:tc>
          <w:tcPr>
            <w:tcW w:type="dxa" w:w="3120"/>
            <w:tcBorders>
              <w:top w:val="single" w:color="CCCCCC" w:sz="4"/>
              <w:left w:val="single" w:color="CCCCCC" w:sz="4"/>
              <w:bottom w:val="single" w:color="CCCCCC" w:sz="4"/>
              <w:right w:val="single" w:color="CCCCCC" w:sz="4"/>
            </w:tcBorders>
            <w:tcMar>
              <w:top w:type="dxa" w:w="100"/>
              <w:left w:type="dxa" w:w="120"/>
              <w:bottom w:type="dxa" w:w="100"/>
              <w:right w:type="dxa" w:w="120"/>
            </w:tcMar>
          </w:tcPr>
          <w:p>
            <w:r>
              <w:rPr>
                <w:sz w:val="19"/>
                <w:szCs w:val="19"/>
              </w:rPr>
              <w:t xml:space="preserve"> </w:t>
            </w:r>
          </w:p>
        </w:tc>
      </w:tr>
    </w:tbl>
    <w:p>
      <w:pPr>
        <w:spacing w:before="600"/>
      </w:pPr>
    </w:p>
    <w:p>
      <w:pPr>
        <w:spacing w:after="160"/>
      </w:pPr>
      <w:r>
        <w:rPr>
          <w:i/>
          <w:iCs/>
          <w:color w:val="AAAAAA"/>
          <w:sz w:val="18"/>
          <w:szCs w:val="18"/>
        </w:rPr>
        <w:t xml:space="preserve">Template provided by PreventLoss.org — Loss Prevention Resources for US Businesses.</w:t>
      </w:r>
    </w:p>
    <w:p>
      <w:pPr>
        <w:spacing w:after="160"/>
      </w:pPr>
      <w:r>
        <w:rPr>
          <w:i/>
          <w:iCs/>
          <w:color w:val="AAAAAA"/>
          <w:sz w:val="18"/>
          <w:szCs w:val="18"/>
        </w:rPr>
        <w:t xml:space="preserve">This template is provided for general guidance and does not constitute legal advice. Consult qualified legal counsel before adopting any policy.</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Page </w:t>
    </w:r>
    <w:r>
      <w:rPr>
        <w:color w:val="999999"/>
        <w:sz w:val="16"/>
        <w:szCs w:val="16"/>
      </w:rPr>
      <w:fldChar w:fldCharType="begin"/>
      <w:instrText xml:space="preserve">PAGE</w:instrText>
      <w:fldChar w:fldCharType="separate"/>
      <w:fldChar w:fldCharType="end"/>
    </w:r>
    <w:r>
      <w:rPr>
        <w:color w:val="999999"/>
        <w:sz w:val="16"/>
        <w:szCs w:val="16"/>
      </w:rPr>
      <w:t xml:space="preserve"> of </w:t>
    </w:r>
    <w:r>
      <w:rPr>
        <w:color w:val="999999"/>
        <w:sz w:val="16"/>
        <w:szCs w:val="16"/>
      </w:rPr>
      <w:fldChar w:fldCharType="begin"/>
      <w:instrText xml:space="preserve">NUMPAGES</w:instrText>
      <w:fldChar w:fldCharType="separate"/>
      <w:fldChar w:fldCharType="end"/>
    </w:r>
    <w:r>
      <w:rPr>
        <w:color w:val="999999"/>
        <w:sz w:val="16"/>
        <w:szCs w:val="16"/>
      </w:rPr>
      <w:t xml:space="preserve">  |  Template by PreventLoss.org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Loss Prevention Policy —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97A1A" w:sz="6" w:space="4"/>
      </w:pBdr>
      <w:spacing w:after="180" w:before="360"/>
      <w:outlineLvl w:val="0"/>
    </w:pPr>
    <w:rPr>
      <w:rFonts w:ascii="Calibri" w:cs="Calibri" w:eastAsia="Calibri" w:hAnsi="Calibri"/>
      <w:b/>
      <w:bCs/>
      <w:color w:val="1A2B4C"/>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1A2B4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2026-06-30T06:27:58.886Z</dcterms:created>
  <dcterms:modified xsi:type="dcterms:W3CDTF">2026-06-30T06:27:58.886Z</dcterms:modified>
</cp:coreProperties>
</file>

<file path=docProps/custom.xml><?xml version="1.0" encoding="utf-8"?>
<Properties xmlns="http://schemas.openxmlformats.org/officeDocument/2006/custom-properties" xmlns:vt="http://schemas.openxmlformats.org/officeDocument/2006/docPropsVTypes"/>
</file>